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77C2" w14:textId="77777777" w:rsidR="004E6157" w:rsidRDefault="00260879">
      <w:pPr>
        <w:spacing w:after="0" w:line="259" w:lineRule="auto"/>
        <w:ind w:left="101" w:right="0" w:firstLine="0"/>
        <w:jc w:val="left"/>
      </w:pPr>
      <w:r>
        <w:rPr>
          <w:color w:val="EC7C30"/>
          <w:sz w:val="32"/>
        </w:rPr>
        <w:t>Matters Reserved for the Board</w:t>
      </w:r>
      <w:r>
        <w:rPr>
          <w:color w:val="5C2E91"/>
          <w:sz w:val="32"/>
        </w:rPr>
        <w:t xml:space="preserve"> </w:t>
      </w:r>
    </w:p>
    <w:p w14:paraId="7AD045BC" w14:textId="77777777" w:rsidR="004E6157" w:rsidRDefault="00260879">
      <w:pPr>
        <w:spacing w:after="0" w:line="259" w:lineRule="auto"/>
        <w:ind w:left="101" w:right="0" w:firstLine="0"/>
        <w:jc w:val="left"/>
      </w:pPr>
      <w:r>
        <w:rPr>
          <w:sz w:val="32"/>
        </w:rPr>
        <w:t xml:space="preserve"> </w:t>
      </w:r>
    </w:p>
    <w:p w14:paraId="23102B98" w14:textId="77777777" w:rsidR="004E6157" w:rsidRDefault="00260879">
      <w:pPr>
        <w:spacing w:after="207"/>
      </w:pPr>
      <w:r>
        <w:t xml:space="preserve">The Board has delegated the day-to-day management of ukactive to the Chief Executive and the Executive management team. This document sets out the list of matters which are to be decided </w:t>
      </w:r>
      <w:r>
        <w:t xml:space="preserve">by the Board of Directors as a whole. </w:t>
      </w:r>
    </w:p>
    <w:p w14:paraId="3E652815" w14:textId="77777777" w:rsidR="004E6157" w:rsidRDefault="00260879">
      <w:pPr>
        <w:spacing w:line="259" w:lineRule="auto"/>
        <w:ind w:left="101" w:right="0" w:firstLine="0"/>
        <w:jc w:val="left"/>
      </w:pPr>
      <w:r>
        <w:rPr>
          <w:color w:val="EC7C30"/>
          <w:sz w:val="26"/>
        </w:rPr>
        <w:t xml:space="preserve">The Board reserves to itself: </w:t>
      </w:r>
    </w:p>
    <w:p w14:paraId="49BF7A81" w14:textId="77777777" w:rsidR="004E6157" w:rsidRDefault="00260879">
      <w:pPr>
        <w:pStyle w:val="Heading1"/>
        <w:ind w:left="804" w:hanging="358"/>
      </w:pPr>
      <w:r>
        <w:t>General enabling provision</w:t>
      </w:r>
      <w:r>
        <w:rPr>
          <w:color w:val="000000"/>
        </w:rPr>
        <w:t xml:space="preserve"> </w:t>
      </w:r>
    </w:p>
    <w:p w14:paraId="51CB8EA3" w14:textId="77777777" w:rsidR="004E6157" w:rsidRDefault="00260879">
      <w:pPr>
        <w:spacing w:after="187"/>
        <w:ind w:left="1094" w:right="2" w:hanging="71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Subject to its governing document and relevant legislation, the Board may delegate such matters as it considers appropriate. </w:t>
      </w:r>
    </w:p>
    <w:p w14:paraId="092BF303" w14:textId="77777777" w:rsidR="004E6157" w:rsidRDefault="00260879">
      <w:pPr>
        <w:pStyle w:val="Heading1"/>
        <w:ind w:left="804" w:hanging="358"/>
      </w:pPr>
      <w:r>
        <w:t>Regulations and control</w:t>
      </w:r>
      <w:r>
        <w:rPr>
          <w:color w:val="000000"/>
        </w:rPr>
        <w:t xml:space="preserve"> </w:t>
      </w:r>
    </w:p>
    <w:p w14:paraId="76166DDD" w14:textId="77777777" w:rsidR="004E6157" w:rsidRDefault="00260879">
      <w:pPr>
        <w:ind w:left="1080" w:right="2" w:hanging="634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Responsible for registering the company and providing further information, as requested, to Companies House where appropriate, or to advise if the company ceases to exist. </w:t>
      </w:r>
    </w:p>
    <w:p w14:paraId="5581A4D4" w14:textId="77777777" w:rsidR="004E6157" w:rsidRDefault="00260879">
      <w:pPr>
        <w:ind w:left="1080" w:right="2" w:hanging="634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Approval of recommendations to change/amend </w:t>
      </w:r>
      <w:r>
        <w:t>the company’s</w:t>
      </w:r>
      <w:r>
        <w:t xml:space="preserve"> governing document, subject to the approval of the members, where applicable. </w:t>
      </w:r>
    </w:p>
    <w:p w14:paraId="699D486F" w14:textId="77777777" w:rsidR="004E6157" w:rsidRDefault="00260879">
      <w:pPr>
        <w:ind w:left="1080" w:right="2" w:hanging="634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Approval of standing orders (by-laws), a schedule of matters reserved for the board and financial reporting for the regulation of its proceedings and business. </w:t>
      </w:r>
    </w:p>
    <w:p w14:paraId="51F0A7FC" w14:textId="77777777" w:rsidR="004E6157" w:rsidRDefault="00260879">
      <w:pPr>
        <w:tabs>
          <w:tab w:val="center" w:pos="628"/>
          <w:tab w:val="center" w:pos="2871"/>
        </w:tabs>
        <w:ind w:left="0" w:right="0" w:firstLine="0"/>
        <w:jc w:val="left"/>
      </w:pPr>
      <w:r>
        <w:tab/>
      </w:r>
      <w:r>
        <w:t>2.4.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Suspension of standing orders (by laws). </w:t>
      </w:r>
    </w:p>
    <w:p w14:paraId="18694A56" w14:textId="77777777" w:rsidR="004E6157" w:rsidRDefault="00260879">
      <w:pPr>
        <w:tabs>
          <w:tab w:val="center" w:pos="628"/>
          <w:tab w:val="center" w:pos="3584"/>
        </w:tabs>
        <w:ind w:left="0" w:right="0" w:firstLine="0"/>
        <w:jc w:val="left"/>
      </w:pPr>
      <w:r>
        <w:tab/>
      </w:r>
      <w:r>
        <w:t>2.5.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Alteration and amendment of standing orders (by-laws). </w:t>
      </w:r>
    </w:p>
    <w:p w14:paraId="1A558C47" w14:textId="77777777" w:rsidR="004E6157" w:rsidRDefault="00260879">
      <w:pPr>
        <w:tabs>
          <w:tab w:val="center" w:pos="628"/>
          <w:tab w:val="center" w:pos="4012"/>
        </w:tabs>
        <w:ind w:left="0" w:right="0" w:firstLine="0"/>
        <w:jc w:val="left"/>
      </w:pPr>
      <w:r>
        <w:tab/>
      </w:r>
      <w:r>
        <w:t>2.6.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Ratify any urgent decisions taken by the Chair and Chief Executive </w:t>
      </w:r>
    </w:p>
    <w:p w14:paraId="5EF33AC3" w14:textId="77777777" w:rsidR="004E6157" w:rsidRDefault="00260879">
      <w:pPr>
        <w:ind w:left="1080" w:right="2" w:hanging="634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Approve a scheme of delegation of powers from the Board to committees and </w:t>
      </w:r>
      <w:r>
        <w:t xml:space="preserve">their terms of reference. </w:t>
      </w:r>
    </w:p>
    <w:p w14:paraId="342222CF" w14:textId="77777777" w:rsidR="004E6157" w:rsidRDefault="00260879">
      <w:pPr>
        <w:ind w:left="1080" w:right="2" w:hanging="6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73D7F0" wp14:editId="712FE9DA">
                <wp:simplePos x="0" y="0"/>
                <wp:positionH relativeFrom="page">
                  <wp:posOffset>425196</wp:posOffset>
                </wp:positionH>
                <wp:positionV relativeFrom="page">
                  <wp:posOffset>1041145</wp:posOffset>
                </wp:positionV>
                <wp:extent cx="9144" cy="524256"/>
                <wp:effectExtent l="0" t="0" r="0" b="0"/>
                <wp:wrapSquare wrapText="bothSides"/>
                <wp:docPr id="8243" name="Group 8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524256"/>
                          <a:chOff x="0" y="0"/>
                          <a:chExt cx="9144" cy="524256"/>
                        </a:xfrm>
                      </wpg:grpSpPr>
                      <wps:wsp>
                        <wps:cNvPr id="8927" name="Shape 8927"/>
                        <wps:cNvSpPr/>
                        <wps:spPr>
                          <a:xfrm>
                            <a:off x="0" y="0"/>
                            <a:ext cx="9144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2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43" style="width:0.720001pt;height:41.28pt;position:absolute;mso-position-horizontal-relative:page;mso-position-horizontal:absolute;margin-left:33.48pt;mso-position-vertical-relative:page;margin-top:81.9799pt;" coordsize="91,5242">
                <v:shape id="Shape 8928" style="position:absolute;width:91;height:5242;left:0;top:0;" coordsize="9144,524256" path="m0,0l9144,0l9144,524256l0,5242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2B3DF7" wp14:editId="53F50A9D">
                <wp:simplePos x="0" y="0"/>
                <wp:positionH relativeFrom="page">
                  <wp:posOffset>425196</wp:posOffset>
                </wp:positionH>
                <wp:positionV relativeFrom="page">
                  <wp:posOffset>2130806</wp:posOffset>
                </wp:positionV>
                <wp:extent cx="9144" cy="309372"/>
                <wp:effectExtent l="0" t="0" r="0" b="0"/>
                <wp:wrapSquare wrapText="bothSides"/>
                <wp:docPr id="8244" name="Group 8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309372"/>
                          <a:chOff x="0" y="0"/>
                          <a:chExt cx="9144" cy="309372"/>
                        </a:xfrm>
                      </wpg:grpSpPr>
                      <wps:wsp>
                        <wps:cNvPr id="8929" name="Shape 8929"/>
                        <wps:cNvSpPr/>
                        <wps:spPr>
                          <a:xfrm>
                            <a:off x="0" y="0"/>
                            <a:ext cx="9144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9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9372"/>
                                </a:lnTo>
                                <a:lnTo>
                                  <a:pt x="0" y="309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44" style="width:0.720001pt;height:24.36pt;position:absolute;mso-position-horizontal-relative:page;mso-position-horizontal:absolute;margin-left:33.48pt;mso-position-vertical-relative:page;margin-top:167.78pt;" coordsize="91,3093">
                <v:shape id="Shape 8930" style="position:absolute;width:91;height:3093;left:0;top:0;" coordsize="9144,309372" path="m0,0l9144,0l9144,309372l0,30937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A519B9" wp14:editId="2AD8D59B">
                <wp:simplePos x="0" y="0"/>
                <wp:positionH relativeFrom="page">
                  <wp:posOffset>425196</wp:posOffset>
                </wp:positionH>
                <wp:positionV relativeFrom="page">
                  <wp:posOffset>7395413</wp:posOffset>
                </wp:positionV>
                <wp:extent cx="9144" cy="369113"/>
                <wp:effectExtent l="0" t="0" r="0" b="0"/>
                <wp:wrapSquare wrapText="bothSides"/>
                <wp:docPr id="8246" name="Group 8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369113"/>
                          <a:chOff x="0" y="0"/>
                          <a:chExt cx="9144" cy="369113"/>
                        </a:xfrm>
                      </wpg:grpSpPr>
                      <wps:wsp>
                        <wps:cNvPr id="8931" name="Shape 8931"/>
                        <wps:cNvSpPr/>
                        <wps:spPr>
                          <a:xfrm>
                            <a:off x="0" y="0"/>
                            <a:ext cx="9144" cy="3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91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9113"/>
                                </a:lnTo>
                                <a:lnTo>
                                  <a:pt x="0" y="369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46" style="width:0.720001pt;height:29.064pt;position:absolute;mso-position-horizontal-relative:page;mso-position-horizontal:absolute;margin-left:33.48pt;mso-position-vertical-relative:page;margin-top:582.316pt;" coordsize="91,3691">
                <v:shape id="Shape 8932" style="position:absolute;width:91;height:3691;left:0;top:0;" coordsize="9144,369113" path="m0,0l9144,0l9144,369113l0,36911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2.8.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Require and receive the declaration of Director interests that may conflict with those of the company and determining the </w:t>
      </w:r>
      <w:proofErr w:type="gramStart"/>
      <w:r>
        <w:t>manner in which</w:t>
      </w:r>
      <w:proofErr w:type="gramEnd"/>
      <w:r>
        <w:t xml:space="preserve"> such conflicts will be managed. </w:t>
      </w:r>
    </w:p>
    <w:p w14:paraId="1C9E1C1E" w14:textId="77777777" w:rsidR="004E6157" w:rsidRDefault="00260879">
      <w:pPr>
        <w:ind w:left="1080" w:right="2" w:hanging="634"/>
      </w:pPr>
      <w:r>
        <w:t>2.9.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Require and receive the </w:t>
      </w:r>
      <w:r>
        <w:t xml:space="preserve">declaration of interests of staff members that may conflict with those of the company. </w:t>
      </w:r>
    </w:p>
    <w:p w14:paraId="78A97839" w14:textId="77777777" w:rsidR="004E6157" w:rsidRDefault="00260879">
      <w:pPr>
        <w:ind w:left="456" w:right="2"/>
      </w:pPr>
      <w:r>
        <w:t>2.10.</w:t>
      </w:r>
      <w:r>
        <w:rPr>
          <w:rFonts w:ascii="Arial" w:eastAsia="Arial" w:hAnsi="Arial" w:cs="Arial"/>
        </w:rPr>
        <w:t xml:space="preserve"> </w:t>
      </w:r>
      <w:r>
        <w:t xml:space="preserve">Approve arrangements for dealing with complaints </w:t>
      </w:r>
    </w:p>
    <w:p w14:paraId="18760DEF" w14:textId="77777777" w:rsidR="004E6157" w:rsidRDefault="00260879">
      <w:pPr>
        <w:ind w:left="1080" w:right="2" w:hanging="634"/>
      </w:pPr>
      <w:r>
        <w:t>2.11.</w:t>
      </w:r>
      <w:r>
        <w:rPr>
          <w:rFonts w:ascii="Arial" w:eastAsia="Arial" w:hAnsi="Arial" w:cs="Arial"/>
        </w:rPr>
        <w:t xml:space="preserve"> </w:t>
      </w:r>
      <w:r>
        <w:t xml:space="preserve">Adopt/review/amend the organisational management and control structures, processes </w:t>
      </w:r>
      <w:r>
        <w:t>and procedures required to further the aims of the company’s objects.</w:t>
      </w:r>
      <w:r>
        <w:t xml:space="preserve"> </w:t>
      </w:r>
    </w:p>
    <w:p w14:paraId="04013A9B" w14:textId="32B45529" w:rsidR="004E6157" w:rsidRDefault="00260879">
      <w:pPr>
        <w:ind w:left="1080" w:right="2" w:hanging="634"/>
      </w:pPr>
      <w:r>
        <w:t>2.12.</w:t>
      </w:r>
      <w:r>
        <w:rPr>
          <w:rFonts w:ascii="Arial" w:eastAsia="Arial" w:hAnsi="Arial" w:cs="Arial"/>
        </w:rPr>
        <w:t xml:space="preserve"> </w:t>
      </w:r>
      <w:r>
        <w:t>Receive reports from committees and</w:t>
      </w:r>
      <w:r>
        <w:t xml:space="preserve"> agree/amend/reject any recommendations presented to the Board. </w:t>
      </w:r>
    </w:p>
    <w:p w14:paraId="3E32094D" w14:textId="3BDFF2E8" w:rsidR="004E6157" w:rsidRDefault="00260879">
      <w:pPr>
        <w:spacing w:after="2" w:line="258" w:lineRule="auto"/>
        <w:ind w:left="1090" w:right="0" w:hanging="644"/>
        <w:jc w:val="left"/>
      </w:pPr>
      <w:r>
        <w:t>2.13.</w:t>
      </w:r>
      <w:r>
        <w:rPr>
          <w:rFonts w:ascii="Arial" w:eastAsia="Arial" w:hAnsi="Arial" w:cs="Arial"/>
        </w:rPr>
        <w:t xml:space="preserve"> </w:t>
      </w:r>
      <w:r>
        <w:t xml:space="preserve">Establish/review/amend terms of reference and reporting arrangements of all committees of the Board, including any ad hoc committees. These include the Finance &amp; </w:t>
      </w:r>
      <w:r w:rsidRPr="00260879">
        <w:rPr>
          <w:color w:val="auto"/>
          <w:u w:color="5C2E91"/>
        </w:rPr>
        <w:t>Resources</w:t>
      </w:r>
      <w:r w:rsidRPr="00260879">
        <w:rPr>
          <w:color w:val="auto"/>
        </w:rPr>
        <w:t xml:space="preserve"> </w:t>
      </w:r>
      <w:r>
        <w:t>committee</w:t>
      </w:r>
      <w:r>
        <w:rPr>
          <w:strike/>
          <w:color w:val="5C2E91"/>
        </w:rPr>
        <w:t>,</w:t>
      </w:r>
      <w:r>
        <w:rPr>
          <w:color w:val="5C2E91"/>
          <w:u w:val="single" w:color="5C2E91"/>
        </w:rPr>
        <w:t xml:space="preserve"> </w:t>
      </w:r>
      <w:r w:rsidRPr="00260879">
        <w:rPr>
          <w:color w:val="auto"/>
          <w:u w:color="5C2E91"/>
        </w:rPr>
        <w:t>and</w:t>
      </w:r>
      <w:r w:rsidRPr="00260879">
        <w:rPr>
          <w:color w:val="auto"/>
        </w:rPr>
        <w:t xml:space="preserve"> the </w:t>
      </w:r>
      <w:r w:rsidRPr="00260879">
        <w:rPr>
          <w:color w:val="auto"/>
          <w:u w:color="5C2E91"/>
        </w:rPr>
        <w:t>Nominations &amp;</w:t>
      </w:r>
      <w:r w:rsidRPr="00260879">
        <w:rPr>
          <w:color w:val="auto"/>
          <w:u w:val="single" w:color="5C2E91"/>
        </w:rPr>
        <w:t xml:space="preserve"> </w:t>
      </w:r>
      <w:r>
        <w:t>Remuneration</w:t>
      </w:r>
      <w:r>
        <w:t xml:space="preserve">, where appropriate. </w:t>
      </w:r>
    </w:p>
    <w:p w14:paraId="209BA345" w14:textId="77777777" w:rsidR="004E6157" w:rsidRDefault="00260879">
      <w:pPr>
        <w:spacing w:after="175"/>
        <w:ind w:left="456" w:right="2"/>
      </w:pPr>
      <w:r>
        <w:t>2.14.</w:t>
      </w:r>
      <w:r>
        <w:rPr>
          <w:rFonts w:ascii="Arial" w:eastAsia="Arial" w:hAnsi="Arial" w:cs="Arial"/>
        </w:rPr>
        <w:t xml:space="preserve"> </w:t>
      </w:r>
      <w:r>
        <w:t xml:space="preserve">Ratify/reject instances of failure to comply with standing orders (by-laws). </w:t>
      </w:r>
    </w:p>
    <w:p w14:paraId="0DD34ECF" w14:textId="77777777" w:rsidR="004E6157" w:rsidRDefault="00260879">
      <w:pPr>
        <w:pStyle w:val="Heading1"/>
        <w:ind w:left="804" w:hanging="358"/>
      </w:pPr>
      <w:r>
        <w:t>Appointments / Remuneration / Discipline</w:t>
      </w:r>
      <w:r>
        <w:rPr>
          <w:color w:val="000000"/>
        </w:rPr>
        <w:t xml:space="preserve"> </w:t>
      </w:r>
    </w:p>
    <w:p w14:paraId="7E830C46" w14:textId="77777777" w:rsidR="004E6157" w:rsidRDefault="00260879">
      <w:pPr>
        <w:ind w:left="1080" w:right="2" w:hanging="634"/>
      </w:pPr>
      <w:r>
        <w:t>3.1.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Nominate and elect a </w:t>
      </w:r>
      <w:proofErr w:type="gramStart"/>
      <w:r>
        <w:t>Director</w:t>
      </w:r>
      <w:proofErr w:type="gramEnd"/>
      <w:r>
        <w:t xml:space="preserve"> to serve in the positions of Chair and Treasurer, where appropriate. </w:t>
      </w:r>
    </w:p>
    <w:p w14:paraId="047AD8A9" w14:textId="77777777" w:rsidR="004E6157" w:rsidRDefault="00260879">
      <w:pPr>
        <w:ind w:left="1080" w:right="2" w:hanging="634"/>
      </w:pPr>
      <w:r>
        <w:t>3.2.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Appoint and dismiss committees and individual members of committees that are accountable to the Board. </w:t>
      </w:r>
    </w:p>
    <w:p w14:paraId="77D68F5A" w14:textId="77777777" w:rsidR="004E6157" w:rsidRDefault="00260879">
      <w:pPr>
        <w:tabs>
          <w:tab w:val="center" w:pos="628"/>
          <w:tab w:val="center" w:pos="4380"/>
        </w:tabs>
        <w:ind w:left="0" w:right="0" w:firstLine="0"/>
        <w:jc w:val="left"/>
      </w:pPr>
      <w:r>
        <w:tab/>
      </w:r>
      <w:r>
        <w:t>3.3.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Put in place effective procedures for the succession planning of the Board. </w:t>
      </w:r>
    </w:p>
    <w:p w14:paraId="7D46663A" w14:textId="77777777" w:rsidR="004E6157" w:rsidRDefault="00260879">
      <w:pPr>
        <w:tabs>
          <w:tab w:val="center" w:pos="628"/>
          <w:tab w:val="center" w:pos="4437"/>
        </w:tabs>
        <w:ind w:left="0" w:right="0" w:firstLine="0"/>
        <w:jc w:val="left"/>
      </w:pPr>
      <w:r>
        <w:tab/>
      </w:r>
      <w:r>
        <w:t>3.4.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Appoint, appraise and dismiss the Chief Executive officer, where applicable. </w:t>
      </w:r>
    </w:p>
    <w:p w14:paraId="10CCCD10" w14:textId="77777777" w:rsidR="004E6157" w:rsidRDefault="00260879">
      <w:pPr>
        <w:tabs>
          <w:tab w:val="center" w:pos="628"/>
          <w:tab w:val="center" w:pos="4314"/>
        </w:tabs>
        <w:ind w:left="0" w:right="0" w:firstLine="0"/>
        <w:jc w:val="left"/>
      </w:pPr>
      <w:r>
        <w:tab/>
      </w:r>
      <w:r>
        <w:t>3.5.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Appoint, appraise and dismiss the Company </w:t>
      </w:r>
      <w:r>
        <w:t xml:space="preserve">Secretary, where applicable. </w:t>
      </w:r>
    </w:p>
    <w:p w14:paraId="1BE39A62" w14:textId="77777777" w:rsidR="004E6157" w:rsidRDefault="00260879">
      <w:pPr>
        <w:ind w:left="1080" w:right="2" w:hanging="634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Consider, approve/reject proposals from the Remuneration committee regarding salary and benefits of the Chief Executive and other staff, where appropriate. </w:t>
      </w:r>
    </w:p>
    <w:p w14:paraId="05A66497" w14:textId="77777777" w:rsidR="004E6157" w:rsidRDefault="00260879">
      <w:pPr>
        <w:ind w:left="1080" w:right="2" w:hanging="634"/>
      </w:pPr>
      <w:r>
        <w:lastRenderedPageBreak/>
        <w:t>3.7.</w:t>
      </w:r>
      <w:r>
        <w:rPr>
          <w:rFonts w:ascii="Arial" w:eastAsia="Arial" w:hAnsi="Arial" w:cs="Arial"/>
        </w:rPr>
        <w:t xml:space="preserve"> </w:t>
      </w:r>
      <w:r>
        <w:t xml:space="preserve">Agreeing procedures for the effective annual evaluation of the Board and individual Directors, and committees. </w:t>
      </w:r>
    </w:p>
    <w:p w14:paraId="5B6DB72A" w14:textId="77777777" w:rsidR="004E6157" w:rsidRDefault="00260879">
      <w:pPr>
        <w:tabs>
          <w:tab w:val="center" w:pos="628"/>
          <w:tab w:val="center" w:pos="3692"/>
        </w:tabs>
        <w:ind w:left="0" w:right="0" w:firstLine="0"/>
        <w:jc w:val="left"/>
      </w:pPr>
      <w:r>
        <w:tab/>
      </w:r>
      <w:r>
        <w:t>3.8.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Determining the independence of non-executive directors. </w:t>
      </w:r>
    </w:p>
    <w:p w14:paraId="1B18BCF2" w14:textId="77777777" w:rsidR="004E6157" w:rsidRDefault="00260879">
      <w:pPr>
        <w:spacing w:after="184"/>
        <w:ind w:left="1080" w:right="2" w:hanging="634"/>
      </w:pPr>
      <w:r>
        <w:t>3.9.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To consider and decide on any proposal to remunerate a </w:t>
      </w:r>
      <w:proofErr w:type="gramStart"/>
      <w:r>
        <w:t>Director</w:t>
      </w:r>
      <w:proofErr w:type="gramEnd"/>
      <w:r>
        <w:t xml:space="preserve">, subject to the </w:t>
      </w:r>
      <w:r>
        <w:t>restrictions of the company’s governing document.</w:t>
      </w:r>
      <w:r>
        <w:t xml:space="preserve"> </w:t>
      </w:r>
    </w:p>
    <w:p w14:paraId="1F155EF7" w14:textId="77777777" w:rsidR="004E6157" w:rsidRDefault="00260879">
      <w:pPr>
        <w:pStyle w:val="Heading1"/>
        <w:ind w:left="804" w:hanging="358"/>
      </w:pPr>
      <w:r>
        <w:t>Strategic and budgetary matters</w:t>
      </w:r>
      <w:r>
        <w:rPr>
          <w:color w:val="000000"/>
        </w:rPr>
        <w:t xml:space="preserve"> </w:t>
      </w:r>
    </w:p>
    <w:p w14:paraId="11E8F569" w14:textId="77777777" w:rsidR="004E6157" w:rsidRDefault="00260879">
      <w:pPr>
        <w:ind w:left="1080" w:right="2" w:hanging="634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Responsible for the overall management and leadership of the company, ensuring </w:t>
      </w:r>
      <w:r>
        <w:t>compliance with the company’s objects and relevant legislation.</w:t>
      </w:r>
      <w:r>
        <w:t xml:space="preserve"> </w:t>
      </w:r>
    </w:p>
    <w:p w14:paraId="311B8228" w14:textId="77777777" w:rsidR="004E6157" w:rsidRDefault="00260879">
      <w:pPr>
        <w:ind w:left="1092" w:right="2" w:hanging="646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Define and agree the strategic aims and objectives of the company, including vision, mission and values. </w:t>
      </w:r>
    </w:p>
    <w:p w14:paraId="075CF72D" w14:textId="437AC86C" w:rsidR="004E6157" w:rsidRDefault="00260879">
      <w:pPr>
        <w:ind w:left="1092" w:right="1533" w:hanging="646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Approve/amend proposals for the delivery/cessation of delivery of </w:t>
      </w:r>
      <w:r w:rsidRPr="00260879">
        <w:rPr>
          <w:color w:val="auto"/>
          <w:u w:color="5C2E91"/>
        </w:rPr>
        <w:t>programs</w:t>
      </w:r>
      <w:r>
        <w:t xml:space="preserve"> to further the company objects or changes to the </w:t>
      </w:r>
      <w:r>
        <w:t>company’s activities.</w:t>
      </w:r>
      <w:r>
        <w:t xml:space="preserve"> </w:t>
      </w:r>
    </w:p>
    <w:p w14:paraId="14832722" w14:textId="77777777" w:rsidR="004E6157" w:rsidRDefault="00260879">
      <w:pPr>
        <w:spacing w:after="6" w:line="253" w:lineRule="auto"/>
        <w:ind w:left="1092" w:right="0" w:hanging="646"/>
        <w:jc w:val="left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Approve/amend the company’s policies and procedures for internal control and the </w:t>
      </w:r>
      <w:r>
        <w:t xml:space="preserve">management of risk and protection of the </w:t>
      </w:r>
      <w:r>
        <w:t>company’s</w:t>
      </w:r>
      <w:r>
        <w:t xml:space="preserve"> property (including insurance). </w:t>
      </w:r>
    </w:p>
    <w:p w14:paraId="0680F628" w14:textId="77777777" w:rsidR="004E6157" w:rsidRDefault="00260879">
      <w:pPr>
        <w:spacing w:after="2" w:line="258" w:lineRule="auto"/>
        <w:ind w:left="1090" w:right="0" w:hanging="644"/>
        <w:jc w:val="left"/>
      </w:pPr>
      <w:r>
        <w:t>4.5.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Approve/amend proposals for major capital investment or expenditure </w:t>
      </w:r>
      <w:proofErr w:type="gramStart"/>
      <w:r>
        <w:t>in excess of</w:t>
      </w:r>
      <w:proofErr w:type="gramEnd"/>
      <w:r>
        <w:t xml:space="preserve"> the amounts delegated under the Delegation of Authority policy approved by the Board from time to time. This also includes approval of proposals for Balance Sheet investments. </w:t>
      </w:r>
    </w:p>
    <w:p w14:paraId="1C7015DB" w14:textId="77777777" w:rsidR="004E6157" w:rsidRDefault="00260879">
      <w:pPr>
        <w:ind w:left="1092" w:right="2" w:hanging="646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Approve contractual agreements </w:t>
      </w:r>
      <w:proofErr w:type="gramStart"/>
      <w:r>
        <w:t>in excess of</w:t>
      </w:r>
      <w:proofErr w:type="gramEnd"/>
      <w:r>
        <w:t xml:space="preserve"> the amounts delegated under </w:t>
      </w:r>
      <w:r>
        <w:t xml:space="preserve">the Delegation of Authority policy approved by the Board from time to time. </w:t>
      </w:r>
    </w:p>
    <w:p w14:paraId="13032450" w14:textId="77777777" w:rsidR="004E6157" w:rsidRDefault="00260879">
      <w:pPr>
        <w:tabs>
          <w:tab w:val="center" w:pos="616"/>
          <w:tab w:val="center" w:pos="3755"/>
        </w:tabs>
        <w:ind w:left="0" w:right="0" w:firstLine="0"/>
        <w:jc w:val="left"/>
      </w:pPr>
      <w:r>
        <w:tab/>
      </w:r>
      <w:r>
        <w:t>4.7.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Approve/amend the </w:t>
      </w:r>
      <w:r>
        <w:t>company’s</w:t>
      </w:r>
      <w:r>
        <w:t xml:space="preserve"> business plans and budgets. </w:t>
      </w:r>
    </w:p>
    <w:p w14:paraId="7A94DBEA" w14:textId="77777777" w:rsidR="004E6157" w:rsidRDefault="00260879">
      <w:pPr>
        <w:ind w:left="1092" w:right="2" w:hanging="646"/>
      </w:pPr>
      <w:r>
        <w:t>4.8.</w:t>
      </w:r>
      <w:r>
        <w:rPr>
          <w:rFonts w:ascii="Arial" w:eastAsia="Arial" w:hAnsi="Arial" w:cs="Arial"/>
        </w:rPr>
        <w:t xml:space="preserve"> </w:t>
      </w:r>
      <w:r>
        <w:t xml:space="preserve">Approve/reject proposals for the acquisition/disposal of land/buildings, or change in its use, following the receipt and consideration of professional guidance. </w:t>
      </w:r>
    </w:p>
    <w:p w14:paraId="3BC58B75" w14:textId="77777777" w:rsidR="004E6157" w:rsidRDefault="00260879">
      <w:pPr>
        <w:tabs>
          <w:tab w:val="center" w:pos="616"/>
          <w:tab w:val="center" w:pos="4095"/>
        </w:tabs>
        <w:ind w:left="0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87577A" wp14:editId="7233B7B0">
                <wp:simplePos x="0" y="0"/>
                <wp:positionH relativeFrom="page">
                  <wp:posOffset>425196</wp:posOffset>
                </wp:positionH>
                <wp:positionV relativeFrom="page">
                  <wp:posOffset>3042234</wp:posOffset>
                </wp:positionV>
                <wp:extent cx="9144" cy="184709"/>
                <wp:effectExtent l="0" t="0" r="0" b="0"/>
                <wp:wrapSquare wrapText="bothSides"/>
                <wp:docPr id="812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4709"/>
                          <a:chOff x="0" y="0"/>
                          <a:chExt cx="9144" cy="184709"/>
                        </a:xfrm>
                      </wpg:grpSpPr>
                      <wps:wsp>
                        <wps:cNvPr id="8933" name="Shape 8933"/>
                        <wps:cNvSpPr/>
                        <wps:spPr>
                          <a:xfrm>
                            <a:off x="0" y="0"/>
                            <a:ext cx="9144" cy="18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7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709"/>
                                </a:lnTo>
                                <a:lnTo>
                                  <a:pt x="0" y="184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26" style="width:0.720001pt;height:14.544pt;position:absolute;mso-position-horizontal-relative:page;mso-position-horizontal:absolute;margin-left:33.48pt;mso-position-vertical-relative:page;margin-top:239.546pt;" coordsize="91,1847">
                <v:shape id="Shape 8934" style="position:absolute;width:91;height:1847;left:0;top:0;" coordsize="9144,184709" path="m0,0l9144,0l9144,184709l0,184709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1AC902" wp14:editId="2F9E2520">
                <wp:simplePos x="0" y="0"/>
                <wp:positionH relativeFrom="page">
                  <wp:posOffset>425196</wp:posOffset>
                </wp:positionH>
                <wp:positionV relativeFrom="page">
                  <wp:posOffset>5802757</wp:posOffset>
                </wp:positionV>
                <wp:extent cx="9144" cy="182880"/>
                <wp:effectExtent l="0" t="0" r="0" b="0"/>
                <wp:wrapSquare wrapText="bothSides"/>
                <wp:docPr id="8127" name="Group 8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2880"/>
                          <a:chOff x="0" y="0"/>
                          <a:chExt cx="9144" cy="182880"/>
                        </a:xfrm>
                      </wpg:grpSpPr>
                      <wps:wsp>
                        <wps:cNvPr id="8935" name="Shape 8935"/>
                        <wps:cNvSpPr/>
                        <wps:spPr>
                          <a:xfrm>
                            <a:off x="0" y="0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27" style="width:0.720001pt;height:14.4pt;position:absolute;mso-position-horizontal-relative:page;mso-position-horizontal:absolute;margin-left:33.48pt;mso-position-vertical-relative:page;margin-top:456.91pt;" coordsize="91,1828">
                <v:shape id="Shape 8936" style="position:absolute;width:91;height:1828;left:0;top:0;" coordsize="9144,182880" path="m0,0l9144,0l9144,182880l0,18288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t>4.9.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Agree and review investment strategy, in line with relevant policies. </w:t>
      </w:r>
    </w:p>
    <w:p w14:paraId="2483CD44" w14:textId="77777777" w:rsidR="004E6157" w:rsidRDefault="00260879">
      <w:pPr>
        <w:ind w:left="456" w:right="2"/>
      </w:pPr>
      <w:r>
        <w:t>4.10.</w:t>
      </w:r>
      <w:r>
        <w:rPr>
          <w:rFonts w:ascii="Arial" w:eastAsia="Arial" w:hAnsi="Arial" w:cs="Arial"/>
        </w:rPr>
        <w:t xml:space="preserve"> </w:t>
      </w:r>
      <w:r>
        <w:t xml:space="preserve">Approve the number, purpose and mandates of bank accounts and other deposit media. </w:t>
      </w:r>
    </w:p>
    <w:p w14:paraId="6F66614C" w14:textId="6BF4530A" w:rsidR="004E6157" w:rsidRDefault="00260879">
      <w:pPr>
        <w:ind w:left="1092" w:right="2" w:hanging="646"/>
      </w:pPr>
      <w:r>
        <w:t>4.11.</w:t>
      </w:r>
      <w:r>
        <w:rPr>
          <w:rFonts w:ascii="Arial" w:eastAsia="Arial" w:hAnsi="Arial" w:cs="Arial"/>
        </w:rPr>
        <w:t xml:space="preserve"> </w:t>
      </w:r>
      <w:r>
        <w:t xml:space="preserve">Authorise delegated powers and limitations to the Chief Executive and other members of the Executive team, </w:t>
      </w:r>
      <w:r>
        <w:t xml:space="preserve">where appropriate. </w:t>
      </w:r>
    </w:p>
    <w:p w14:paraId="45AF9845" w14:textId="77777777" w:rsidR="004E6157" w:rsidRDefault="00260879">
      <w:pPr>
        <w:ind w:left="1092" w:right="2" w:hanging="646"/>
      </w:pPr>
      <w:r>
        <w:t>4.12.</w:t>
      </w:r>
      <w:r>
        <w:rPr>
          <w:rFonts w:ascii="Arial" w:eastAsia="Arial" w:hAnsi="Arial" w:cs="Arial"/>
        </w:rPr>
        <w:t xml:space="preserve"> </w:t>
      </w:r>
      <w:r>
        <w:t xml:space="preserve">Decisions relating to court proceedings against or on behalf of the company which are material to the interests of the company. </w:t>
      </w:r>
    </w:p>
    <w:p w14:paraId="7C716C0D" w14:textId="77777777" w:rsidR="004E6157" w:rsidRDefault="00260879">
      <w:pPr>
        <w:ind w:left="1092" w:right="2" w:hanging="646"/>
      </w:pPr>
      <w:r>
        <w:t>4.13.</w:t>
      </w:r>
      <w:r>
        <w:rPr>
          <w:rFonts w:ascii="Arial" w:eastAsia="Arial" w:hAnsi="Arial" w:cs="Arial"/>
        </w:rPr>
        <w:t xml:space="preserve"> </w:t>
      </w:r>
      <w:r>
        <w:t xml:space="preserve">Approval and appointment of the </w:t>
      </w:r>
      <w:r>
        <w:t>company’s</w:t>
      </w:r>
      <w:r>
        <w:t xml:space="preserve"> professional advisers and consultants and to determine their remuneration. </w:t>
      </w:r>
    </w:p>
    <w:p w14:paraId="264B1886" w14:textId="77777777" w:rsidR="004E6157" w:rsidRDefault="00260879">
      <w:pPr>
        <w:ind w:left="456" w:right="2"/>
      </w:pPr>
      <w:r>
        <w:t>4.14.</w:t>
      </w:r>
      <w:r>
        <w:rPr>
          <w:rFonts w:ascii="Arial" w:eastAsia="Arial" w:hAnsi="Arial" w:cs="Arial"/>
        </w:rPr>
        <w:t xml:space="preserve"> </w:t>
      </w:r>
      <w:r>
        <w:t xml:space="preserve">Approval of purchasing Directors and Officers indemnity insurance from company funds. </w:t>
      </w:r>
    </w:p>
    <w:p w14:paraId="29F89271" w14:textId="77777777" w:rsidR="004E6157" w:rsidRDefault="00260879">
      <w:pPr>
        <w:ind w:left="1092" w:right="2" w:hanging="646"/>
      </w:pPr>
      <w:r>
        <w:t>4.15.</w:t>
      </w:r>
      <w:r>
        <w:rPr>
          <w:rFonts w:ascii="Arial" w:eastAsia="Arial" w:hAnsi="Arial" w:cs="Arial"/>
        </w:rPr>
        <w:t xml:space="preserve"> </w:t>
      </w:r>
      <w:r>
        <w:t xml:space="preserve">Approve the transfer of company </w:t>
      </w:r>
      <w:r>
        <w:t xml:space="preserve">property to/from another company with substantially similar objects. </w:t>
      </w:r>
    </w:p>
    <w:p w14:paraId="4016B0A6" w14:textId="77777777" w:rsidR="004E6157" w:rsidRDefault="00260879">
      <w:pPr>
        <w:ind w:left="456" w:right="2"/>
      </w:pPr>
      <w:r>
        <w:t>4.16.</w:t>
      </w:r>
      <w:r>
        <w:rPr>
          <w:rFonts w:ascii="Arial" w:eastAsia="Arial" w:hAnsi="Arial" w:cs="Arial"/>
        </w:rPr>
        <w:t xml:space="preserve"> </w:t>
      </w:r>
      <w:r>
        <w:t xml:space="preserve">Agree changes to the </w:t>
      </w:r>
      <w:r>
        <w:t>company’s</w:t>
      </w:r>
      <w:r>
        <w:t xml:space="preserve"> pension scheme or the management of its funds. </w:t>
      </w:r>
    </w:p>
    <w:p w14:paraId="4183A19A" w14:textId="77777777" w:rsidR="004E6157" w:rsidRDefault="00260879">
      <w:pPr>
        <w:spacing w:after="71" w:line="259" w:lineRule="auto"/>
        <w:ind w:left="0" w:right="0" w:firstLine="0"/>
        <w:jc w:val="left"/>
      </w:pPr>
      <w:r>
        <w:t xml:space="preserve"> </w:t>
      </w:r>
    </w:p>
    <w:p w14:paraId="71DB6DDB" w14:textId="77777777" w:rsidR="004E6157" w:rsidRDefault="002608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124D65" w14:textId="77777777" w:rsidR="004E6157" w:rsidRDefault="00260879">
      <w:pPr>
        <w:pStyle w:val="Heading1"/>
        <w:ind w:left="804" w:hanging="358"/>
      </w:pPr>
      <w:r>
        <w:t>Policies</w:t>
      </w:r>
      <w:r>
        <w:rPr>
          <w:color w:val="000000"/>
        </w:rPr>
        <w:t xml:space="preserve"> </w:t>
      </w:r>
    </w:p>
    <w:p w14:paraId="7B2FBF47" w14:textId="77777777" w:rsidR="004E6157" w:rsidRDefault="00260879">
      <w:pPr>
        <w:ind w:left="536" w:right="2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Establish/review/amend/approve key organisational policies including: </w:t>
      </w:r>
    </w:p>
    <w:p w14:paraId="71CA11B5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Matters reserved for the Board (this document) </w:t>
      </w:r>
    </w:p>
    <w:p w14:paraId="701643F6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Delegation of Authority policy </w:t>
      </w:r>
    </w:p>
    <w:p w14:paraId="213A3446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Director code of conduct </w:t>
      </w:r>
    </w:p>
    <w:p w14:paraId="50F4174D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Director engagement/agreement to serve letter </w:t>
      </w:r>
    </w:p>
    <w:p w14:paraId="3F2ED5D1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Employment policy </w:t>
      </w:r>
    </w:p>
    <w:p w14:paraId="02CD7B89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Health and safety policy </w:t>
      </w:r>
    </w:p>
    <w:p w14:paraId="2008EA9F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Communications policy </w:t>
      </w:r>
    </w:p>
    <w:p w14:paraId="111DA3EB" w14:textId="77777777" w:rsidR="004E6157" w:rsidRDefault="00260879">
      <w:pPr>
        <w:numPr>
          <w:ilvl w:val="0"/>
          <w:numId w:val="1"/>
        </w:numPr>
        <w:ind w:right="2" w:hanging="360"/>
      </w:pPr>
      <w:r>
        <w:lastRenderedPageBreak/>
        <w:t xml:space="preserve">Complaints policy </w:t>
      </w:r>
    </w:p>
    <w:p w14:paraId="392623CC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Treasury and investments policy </w:t>
      </w:r>
    </w:p>
    <w:p w14:paraId="07381025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Reserves policy </w:t>
      </w:r>
    </w:p>
    <w:p w14:paraId="0CD0166A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Whistleblowing policy </w:t>
      </w:r>
    </w:p>
    <w:p w14:paraId="25F8921D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Risk management policy </w:t>
      </w:r>
    </w:p>
    <w:p w14:paraId="4C0A1F74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Corporate social responsibility </w:t>
      </w:r>
    </w:p>
    <w:p w14:paraId="3B657278" w14:textId="77777777" w:rsidR="004E6157" w:rsidRDefault="00260879">
      <w:pPr>
        <w:numPr>
          <w:ilvl w:val="0"/>
          <w:numId w:val="1"/>
        </w:numPr>
        <w:ind w:right="2" w:hanging="360"/>
      </w:pPr>
      <w:r>
        <w:t xml:space="preserve">Conflicts of interest policy </w:t>
      </w:r>
    </w:p>
    <w:p w14:paraId="3DE52A74" w14:textId="77777777" w:rsidR="004E6157" w:rsidRDefault="00260879">
      <w:pPr>
        <w:numPr>
          <w:ilvl w:val="0"/>
          <w:numId w:val="1"/>
        </w:numPr>
        <w:spacing w:after="183"/>
        <w:ind w:right="2" w:hanging="360"/>
      </w:pPr>
      <w:r>
        <w:t xml:space="preserve">Equal opportunities policy </w:t>
      </w:r>
    </w:p>
    <w:p w14:paraId="1B9A7B36" w14:textId="77777777" w:rsidR="004E6157" w:rsidRDefault="00260879">
      <w:pPr>
        <w:pStyle w:val="Heading1"/>
        <w:ind w:left="804" w:hanging="358"/>
      </w:pPr>
      <w:r>
        <w:t>Audit</w:t>
      </w:r>
      <w:r>
        <w:rPr>
          <w:color w:val="000000"/>
        </w:rPr>
        <w:t xml:space="preserve"> </w:t>
      </w:r>
    </w:p>
    <w:p w14:paraId="10757CA5" w14:textId="77777777" w:rsidR="004E6157" w:rsidRDefault="00260879">
      <w:pPr>
        <w:ind w:left="1234" w:right="2" w:hanging="706"/>
      </w:pPr>
      <w:r>
        <w:t>6.1.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Consideration of the external auditors, in line with legal requirements and those of the </w:t>
      </w:r>
      <w:r>
        <w:t>company’s governing document.</w:t>
      </w:r>
      <w:r>
        <w:t xml:space="preserve"> </w:t>
      </w:r>
    </w:p>
    <w:p w14:paraId="063B77FF" w14:textId="5EC2FBB8" w:rsidR="004E6157" w:rsidRPr="00260879" w:rsidRDefault="00260879">
      <w:pPr>
        <w:ind w:left="1234" w:right="2" w:hanging="706"/>
        <w:rPr>
          <w:color w:val="auto"/>
        </w:rPr>
      </w:pPr>
      <w:r>
        <w:t>6.2.</w:t>
      </w:r>
      <w:r>
        <w:rPr>
          <w:rFonts w:ascii="Arial" w:eastAsia="Arial" w:hAnsi="Arial" w:cs="Arial"/>
        </w:rPr>
        <w:t xml:space="preserve"> </w:t>
      </w:r>
      <w:r>
        <w:t>Approval of remuneration of external auditors, their re-appointment or removal, in line with legislation</w:t>
      </w:r>
      <w:r>
        <w:rPr>
          <w:color w:val="5C2E91"/>
          <w:u w:val="single" w:color="5C2E91"/>
        </w:rPr>
        <w:t xml:space="preserve">, </w:t>
      </w:r>
      <w:r>
        <w:t xml:space="preserve">the requirements of the company’s governing </w:t>
      </w:r>
      <w:r w:rsidRPr="00260879">
        <w:rPr>
          <w:color w:val="auto"/>
        </w:rPr>
        <w:t>document</w:t>
      </w:r>
      <w:r w:rsidRPr="00260879">
        <w:rPr>
          <w:color w:val="auto"/>
          <w:u w:color="5C2E91"/>
        </w:rPr>
        <w:t xml:space="preserve"> and the</w:t>
      </w:r>
      <w:r w:rsidRPr="00260879">
        <w:rPr>
          <w:color w:val="auto"/>
        </w:rPr>
        <w:t xml:space="preserve"> </w:t>
      </w:r>
      <w:r w:rsidRPr="00260879">
        <w:rPr>
          <w:color w:val="auto"/>
          <w:u w:color="5C2E91"/>
        </w:rPr>
        <w:t>recommendations of the Finance &amp; Resources committee</w:t>
      </w:r>
      <w:r w:rsidRPr="00260879">
        <w:rPr>
          <w:strike/>
          <w:color w:val="auto"/>
        </w:rPr>
        <w:t>.</w:t>
      </w:r>
      <w:r w:rsidRPr="00260879">
        <w:rPr>
          <w:color w:val="auto"/>
        </w:rPr>
        <w:t xml:space="preserve"> </w:t>
      </w:r>
    </w:p>
    <w:p w14:paraId="32773200" w14:textId="6B9C54D7" w:rsidR="004E6157" w:rsidRDefault="00260879">
      <w:pPr>
        <w:spacing w:after="186"/>
        <w:ind w:left="1234" w:right="202" w:hanging="7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02F678" wp14:editId="49B63C20">
                <wp:simplePos x="0" y="0"/>
                <wp:positionH relativeFrom="page">
                  <wp:posOffset>425196</wp:posOffset>
                </wp:positionH>
                <wp:positionV relativeFrom="page">
                  <wp:posOffset>2860877</wp:posOffset>
                </wp:positionV>
                <wp:extent cx="9144" cy="914705"/>
                <wp:effectExtent l="0" t="0" r="0" b="0"/>
                <wp:wrapSquare wrapText="bothSides"/>
                <wp:docPr id="8023" name="Group 8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914705"/>
                          <a:chOff x="0" y="0"/>
                          <a:chExt cx="9144" cy="914705"/>
                        </a:xfrm>
                      </wpg:grpSpPr>
                      <wps:wsp>
                        <wps:cNvPr id="8937" name="Shape 8937"/>
                        <wps:cNvSpPr/>
                        <wps:spPr>
                          <a:xfrm>
                            <a:off x="0" y="0"/>
                            <a:ext cx="9144" cy="3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91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9113"/>
                                </a:lnTo>
                                <a:lnTo>
                                  <a:pt x="0" y="369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8" name="Shape 8938"/>
                        <wps:cNvSpPr/>
                        <wps:spPr>
                          <a:xfrm>
                            <a:off x="0" y="733349"/>
                            <a:ext cx="91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23" style="width:0.720001pt;height:72.024pt;position:absolute;mso-position-horizontal-relative:page;mso-position-horizontal:absolute;margin-left:33.48pt;mso-position-vertical-relative:page;margin-top:225.266pt;" coordsize="91,9147">
                <v:shape id="Shape 8939" style="position:absolute;width:91;height:3691;left:0;top:0;" coordsize="9144,369113" path="m0,0l9144,0l9144,369113l0,369113l0,0">
                  <v:stroke weight="0pt" endcap="flat" joinstyle="miter" miterlimit="10" on="false" color="#000000" opacity="0"/>
                  <v:fill on="true" color="#000000"/>
                </v:shape>
                <v:shape id="Shape 8940" style="position:absolute;width:91;height:1813;left:0;top:7333;" coordsize="9144,181356" path="m0,0l9144,0l9144,181356l0,1813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F2D6BFE" wp14:editId="3C94DD58">
                <wp:simplePos x="0" y="0"/>
                <wp:positionH relativeFrom="page">
                  <wp:posOffset>425196</wp:posOffset>
                </wp:positionH>
                <wp:positionV relativeFrom="page">
                  <wp:posOffset>6221857</wp:posOffset>
                </wp:positionV>
                <wp:extent cx="9144" cy="181356"/>
                <wp:effectExtent l="0" t="0" r="0" b="0"/>
                <wp:wrapSquare wrapText="bothSides"/>
                <wp:docPr id="8024" name="Group 8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1356"/>
                          <a:chOff x="0" y="0"/>
                          <a:chExt cx="9144" cy="181356"/>
                        </a:xfrm>
                      </wpg:grpSpPr>
                      <wps:wsp>
                        <wps:cNvPr id="8941" name="Shape 8941"/>
                        <wps:cNvSpPr/>
                        <wps:spPr>
                          <a:xfrm>
                            <a:off x="0" y="0"/>
                            <a:ext cx="91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24" style="width:0.720001pt;height:14.28pt;position:absolute;mso-position-horizontal-relative:page;mso-position-horizontal:absolute;margin-left:33.48pt;mso-position-vertical-relative:page;margin-top:489.91pt;" coordsize="91,1813">
                <v:shape id="Shape 8942" style="position:absolute;width:91;height:1813;left:0;top:0;" coordsize="9144,181356" path="m0,0l9144,0l9144,181356l0,18135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Receive and note the annual management letter from the external auditor and agree the proposed course of action, taking into consideration the recommendations of the Finance and Resources </w:t>
      </w:r>
      <w:r>
        <w:t xml:space="preserve">committee, where appropriate. </w:t>
      </w:r>
    </w:p>
    <w:p w14:paraId="21C604F7" w14:textId="77777777" w:rsidR="004E6157" w:rsidRDefault="00260879">
      <w:pPr>
        <w:pStyle w:val="Heading1"/>
        <w:ind w:left="804" w:hanging="358"/>
      </w:pPr>
      <w:r>
        <w:t>Reporting arrangements</w:t>
      </w:r>
      <w:r>
        <w:rPr>
          <w:color w:val="000000"/>
        </w:rPr>
        <w:t xml:space="preserve"> </w:t>
      </w:r>
    </w:p>
    <w:p w14:paraId="44B93ED6" w14:textId="77777777" w:rsidR="004E6157" w:rsidRDefault="00260879">
      <w:pPr>
        <w:tabs>
          <w:tab w:val="center" w:pos="628"/>
          <w:tab w:val="center" w:pos="4309"/>
        </w:tabs>
        <w:ind w:left="0" w:right="0" w:firstLine="0"/>
        <w:jc w:val="left"/>
      </w:pPr>
      <w:r>
        <w:tab/>
      </w:r>
      <w:r>
        <w:t>7.1.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Receive/present/approve the </w:t>
      </w:r>
      <w:r>
        <w:t>company’s</w:t>
      </w:r>
      <w:r>
        <w:t xml:space="preserve"> annual report and accounts. </w:t>
      </w:r>
    </w:p>
    <w:p w14:paraId="11AC800C" w14:textId="77777777" w:rsidR="004E6157" w:rsidRDefault="00260879">
      <w:pPr>
        <w:tabs>
          <w:tab w:val="center" w:pos="695"/>
          <w:tab w:val="center" w:pos="4211"/>
        </w:tabs>
        <w:ind w:left="0" w:right="0" w:firstLine="0"/>
        <w:jc w:val="left"/>
      </w:pPr>
      <w:r>
        <w:tab/>
      </w:r>
      <w:r>
        <w:t>7.2.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File the annual report and accounts with the appropriate regulator. </w:t>
      </w:r>
    </w:p>
    <w:p w14:paraId="21B8F9D8" w14:textId="77777777" w:rsidR="004E6157" w:rsidRDefault="00260879">
      <w:pPr>
        <w:spacing w:after="184"/>
        <w:ind w:left="1234" w:right="2" w:hanging="706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Establish, maintain and retain </w:t>
      </w:r>
      <w:r>
        <w:t xml:space="preserve">appropriate financial reporting arrangements and records and approve any significant changes in accounting policies or practices. </w:t>
      </w:r>
    </w:p>
    <w:p w14:paraId="505590C2" w14:textId="77777777" w:rsidR="004E6157" w:rsidRDefault="00260879">
      <w:pPr>
        <w:pStyle w:val="Heading1"/>
        <w:ind w:left="804" w:hanging="358"/>
      </w:pPr>
      <w:r>
        <w:t>Monitoring</w:t>
      </w:r>
      <w:r>
        <w:rPr>
          <w:color w:val="000000"/>
        </w:rPr>
        <w:t xml:space="preserve"> </w:t>
      </w:r>
    </w:p>
    <w:p w14:paraId="7D9F52A4" w14:textId="77777777" w:rsidR="004E6157" w:rsidRDefault="00260879">
      <w:pPr>
        <w:ind w:left="1219" w:right="2" w:hanging="773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Receive and review such reports as the Board requires from committees and individuals </w:t>
      </w:r>
      <w:proofErr w:type="gramStart"/>
      <w:r>
        <w:t>with regard to</w:t>
      </w:r>
      <w:proofErr w:type="gramEnd"/>
      <w:r>
        <w:t xml:space="preserve"> the use of delegated powers. </w:t>
      </w:r>
    </w:p>
    <w:p w14:paraId="64325A8E" w14:textId="77777777" w:rsidR="004E6157" w:rsidRDefault="00260879">
      <w:pPr>
        <w:spacing w:after="6" w:line="253" w:lineRule="auto"/>
        <w:ind w:left="1229" w:right="0" w:hanging="783"/>
        <w:jc w:val="left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Receive and review such reports from members of the </w:t>
      </w:r>
      <w:r>
        <w:t>company’s</w:t>
      </w:r>
      <w:r>
        <w:t xml:space="preserve"> staff pertaining to the </w:t>
      </w:r>
      <w:r>
        <w:t>activities of the organisation in furtherance with the company’s objects.</w:t>
      </w:r>
      <w:r>
        <w:t xml:space="preserve"> </w:t>
      </w:r>
    </w:p>
    <w:p w14:paraId="7AC8F8E3" w14:textId="77777777" w:rsidR="004E6157" w:rsidRDefault="00260879">
      <w:pPr>
        <w:ind w:left="1219" w:right="2" w:hanging="773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Receive and review reports from the finance function on the financial performance of the company against agreed budget and strategy. </w:t>
      </w:r>
    </w:p>
    <w:p w14:paraId="0B010D9C" w14:textId="2167CD12" w:rsidR="004E6157" w:rsidRDefault="00260879">
      <w:pPr>
        <w:spacing w:after="6" w:line="253" w:lineRule="auto"/>
        <w:ind w:left="1229" w:right="751" w:hanging="783"/>
        <w:jc w:val="left"/>
      </w:pP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Receive and review reports from the </w:t>
      </w:r>
      <w:r>
        <w:t xml:space="preserve">Chief Executive pertaining to meeting </w:t>
      </w:r>
      <w:r>
        <w:t>the company’s goals as agreed in the strategic and business plans.</w:t>
      </w:r>
      <w:r>
        <w:t xml:space="preserve"> </w:t>
      </w:r>
    </w:p>
    <w:sectPr w:rsidR="004E6157">
      <w:pgSz w:w="11911" w:h="16841"/>
      <w:pgMar w:top="1464" w:right="1500" w:bottom="1263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2E78"/>
    <w:multiLevelType w:val="hybridMultilevel"/>
    <w:tmpl w:val="DD440466"/>
    <w:lvl w:ilvl="0" w:tplc="0C10FFA4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E75E2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C7110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2562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8F366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24B16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43AA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71FC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839E8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EC7C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715CC2"/>
    <w:multiLevelType w:val="hybridMultilevel"/>
    <w:tmpl w:val="C3C62A7E"/>
    <w:lvl w:ilvl="0" w:tplc="6E24E98C">
      <w:start w:val="1"/>
      <w:numFmt w:val="bullet"/>
      <w:lvlText w:val="-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8D1C4">
      <w:start w:val="1"/>
      <w:numFmt w:val="bullet"/>
      <w:lvlText w:val="o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42B1BA">
      <w:start w:val="1"/>
      <w:numFmt w:val="bullet"/>
      <w:lvlText w:val="▪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89D5E">
      <w:start w:val="1"/>
      <w:numFmt w:val="bullet"/>
      <w:lvlText w:val="•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8AEA0">
      <w:start w:val="1"/>
      <w:numFmt w:val="bullet"/>
      <w:lvlText w:val="o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AD7D4">
      <w:start w:val="1"/>
      <w:numFmt w:val="bullet"/>
      <w:lvlText w:val="▪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81774">
      <w:start w:val="1"/>
      <w:numFmt w:val="bullet"/>
      <w:lvlText w:val="•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732">
      <w:start w:val="1"/>
      <w:numFmt w:val="bullet"/>
      <w:lvlText w:val="o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21562">
      <w:start w:val="1"/>
      <w:numFmt w:val="bullet"/>
      <w:lvlText w:val="▪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1151551">
    <w:abstractNumId w:val="1"/>
  </w:num>
  <w:num w:numId="2" w16cid:durableId="4680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57"/>
    <w:rsid w:val="00260879"/>
    <w:rsid w:val="004E6157"/>
    <w:rsid w:val="009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A034"/>
  <w15:docId w15:val="{8FAF3984-F8D1-4E68-A0B9-F1C56027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6" w:lineRule="auto"/>
      <w:ind w:left="111" w:right="114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 w:line="259" w:lineRule="auto"/>
      <w:ind w:left="471" w:hanging="10"/>
      <w:outlineLvl w:val="0"/>
    </w:pPr>
    <w:rPr>
      <w:rFonts w:ascii="Calibri" w:eastAsia="Calibri" w:hAnsi="Calibri" w:cs="Calibri"/>
      <w:color w:val="EC7C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EC7C3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77175C28950458F421503BF23D0CE" ma:contentTypeVersion="19" ma:contentTypeDescription="Create a new document." ma:contentTypeScope="" ma:versionID="dbb37af5c0f7ded845352814562558b6">
  <xsd:schema xmlns:xsd="http://www.w3.org/2001/XMLSchema" xmlns:xs="http://www.w3.org/2001/XMLSchema" xmlns:p="http://schemas.microsoft.com/office/2006/metadata/properties" xmlns:ns2="9291d40e-cc11-4094-b806-1388ccb609e2" xmlns:ns3="065c8069-85fb-4356-a637-eb2926ec5726" targetNamespace="http://schemas.microsoft.com/office/2006/metadata/properties" ma:root="true" ma:fieldsID="8fd9fb4c4a3053635a7f648b5ddb3fe4" ns2:_="" ns3:_="">
    <xsd:import namespace="9291d40e-cc11-4094-b806-1388ccb609e2"/>
    <xsd:import namespace="065c8069-85fb-4356-a637-eb2926ec5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d40e-cc11-4094-b806-1388ccb60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9968e0-890b-4526-af3b-8ab33fcce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8069-85fb-4356-a637-eb2926ec5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1753e8-27cd-4549-a323-c6df40efefe8}" ma:internalName="TaxCatchAll" ma:showField="CatchAllData" ma:web="065c8069-85fb-4356-a637-eb2926ec5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c8069-85fb-4356-a637-eb2926ec5726" xsi:nil="true"/>
    <lcf76f155ced4ddcb4097134ff3c332f xmlns="9291d40e-cc11-4094-b806-1388ccb60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DFFE1-15DA-420A-A294-12939ED6754D}"/>
</file>

<file path=customXml/itemProps2.xml><?xml version="1.0" encoding="utf-8"?>
<ds:datastoreItem xmlns:ds="http://schemas.openxmlformats.org/officeDocument/2006/customXml" ds:itemID="{94273CAC-0CCF-41C6-B1A6-33EC6E4B92EC}"/>
</file>

<file path=customXml/itemProps3.xml><?xml version="1.0" encoding="utf-8"?>
<ds:datastoreItem xmlns:ds="http://schemas.openxmlformats.org/officeDocument/2006/customXml" ds:itemID="{64152AB3-1CBA-4B48-81F4-7E1472F18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Shepherd</dc:creator>
  <cp:keywords/>
  <cp:lastModifiedBy>Ann Vacher</cp:lastModifiedBy>
  <cp:revision>2</cp:revision>
  <dcterms:created xsi:type="dcterms:W3CDTF">2025-12-17T15:58:00Z</dcterms:created>
  <dcterms:modified xsi:type="dcterms:W3CDTF">2025-12-17T15:58:00Z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0x01010092477175C28950458F421503BF23D0CE</vt:lpwstr>
  </property>
</Properties>
</file>